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Stoker on Stoker, Bram Stoker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s Life his Research and Writing of </w:t>
      </w:r>
      <w:r>
        <w:rPr>
          <w:sz w:val="34"/>
          <w:szCs w:val="34"/>
          <w:rtl w:val="0"/>
          <w:lang w:val="en-US"/>
        </w:rPr>
        <w:t>Dracula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Dates March 2-9-16-23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  <w:lang w:val="en-US"/>
        </w:rPr>
        <w:t xml:space="preserve">Outline for Part 1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Sources of Information about Bram Stoker and Dracula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Brief history of publication of Dracula starting in 1897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The Occult in the Victorian Era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>s writing style leads to a sense of realism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Summary of 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>s life: Childhood illness-Trinity College successes-Clerk of Petty Sessions-Theater Manger-Writing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Charlotte Stoker- 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 xml:space="preserve">s mother a very special modern woman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A rare glimpse of Bram writing about himself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Bloodletting by his own uncle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Train schedules, a by-product of 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>s theatrical life in Dracula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Bram and Irving visit South Carolina 1895-96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Mephistopheles as Devil and Dracula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Dr William Thornley Stoker 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 xml:space="preserve">s medical advisor 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Vivisection Dracula an evil scientist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Whitby UK, Bram and family visit changed Dracula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The Dimitry becomes the Demeter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Arminius Vambery helps Bram and gets rewarded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